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8A8E" w14:textId="77777777" w:rsidR="001A3F15" w:rsidRPr="001A3F15" w:rsidRDefault="001A3F15" w:rsidP="00A758BC">
      <w:pPr>
        <w:jc w:val="center"/>
        <w:rPr>
          <w:sz w:val="96"/>
          <w:szCs w:val="96"/>
        </w:rPr>
      </w:pPr>
      <w:r w:rsidRPr="001A3F15">
        <w:rPr>
          <w:sz w:val="96"/>
          <w:szCs w:val="96"/>
        </w:rPr>
        <w:sym w:font="GVSD Logo" w:char="F034"/>
      </w:r>
    </w:p>
    <w:p w14:paraId="2A8B4F7D" w14:textId="25B06C07" w:rsidR="00830C86" w:rsidRPr="00F0450A" w:rsidRDefault="00D06206" w:rsidP="00A758BC">
      <w:pPr>
        <w:jc w:val="center"/>
        <w:rPr>
          <w:bCs/>
          <w:sz w:val="16"/>
          <w:szCs w:val="16"/>
          <w:u w:val="single"/>
        </w:rPr>
      </w:pPr>
      <w:r w:rsidRPr="00136C45">
        <w:rPr>
          <w:b/>
          <w:sz w:val="28"/>
          <w:szCs w:val="28"/>
          <w:u w:val="single"/>
        </w:rPr>
        <w:t>CUPE 947 CASUAL EMPLOYEES – TIMESHEET ENTRY WEB (TEW)</w:t>
      </w:r>
      <w:r w:rsidR="00F0450A">
        <w:rPr>
          <w:b/>
          <w:sz w:val="28"/>
          <w:szCs w:val="28"/>
          <w:u w:val="single"/>
        </w:rPr>
        <w:t xml:space="preserve"> </w:t>
      </w:r>
      <w:r w:rsidR="00F0450A">
        <w:rPr>
          <w:bCs/>
          <w:sz w:val="16"/>
          <w:szCs w:val="16"/>
          <w:u w:val="single"/>
        </w:rPr>
        <w:t>(Sept 2023 Ver)</w:t>
      </w:r>
    </w:p>
    <w:p w14:paraId="3D754973" w14:textId="7DE5F1B3" w:rsidR="00A758BC" w:rsidRDefault="00A758BC">
      <w:r>
        <w:t>Your timesheet can be fo</w:t>
      </w:r>
      <w:r w:rsidR="006C30A5">
        <w:t>und in eServices, under My</w:t>
      </w:r>
      <w:r>
        <w:t xml:space="preserve"> Info</w:t>
      </w:r>
      <w:r w:rsidR="008F231B">
        <w:t xml:space="preserve"> </w:t>
      </w:r>
      <w:r w:rsidR="006C30A5">
        <w:t>&gt;</w:t>
      </w:r>
      <w:r w:rsidR="008F231B">
        <w:t xml:space="preserve"> </w:t>
      </w:r>
      <w:r w:rsidR="006C30A5">
        <w:t>Time &amp; Attendance&gt;Enter Time</w:t>
      </w:r>
      <w:r w:rsidR="008F231B">
        <w:t xml:space="preserve"> </w:t>
      </w:r>
      <w:r w:rsidR="006C30A5">
        <w:t>&gt;</w:t>
      </w:r>
      <w:r>
        <w:t xml:space="preserve"> </w:t>
      </w:r>
      <w:r w:rsidR="009D5F04">
        <w:t>Select Timesheet Entry.</w:t>
      </w:r>
    </w:p>
    <w:p w14:paraId="1EB5BC23" w14:textId="77777777" w:rsidR="00B82388" w:rsidRDefault="008C7F83" w:rsidP="00B8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</w:rPr>
      </w:pPr>
      <w:r w:rsidRPr="00B82388">
        <w:rPr>
          <w:iCs/>
        </w:rPr>
        <w:t>eServices is located on</w:t>
      </w:r>
      <w:r w:rsidRPr="008C7F83">
        <w:rPr>
          <w:i/>
        </w:rPr>
        <w:t xml:space="preserve"> </w:t>
      </w:r>
      <w:hyperlink r:id="rId5" w:history="1">
        <w:r w:rsidRPr="008C7F83">
          <w:rPr>
            <w:rStyle w:val="Hyperlink"/>
            <w:i/>
          </w:rPr>
          <w:t>www.sd61.bc.ca</w:t>
        </w:r>
      </w:hyperlink>
      <w:r w:rsidR="00123654">
        <w:rPr>
          <w:i/>
        </w:rPr>
        <w:t xml:space="preserve"> .  </w:t>
      </w:r>
      <w:r w:rsidR="00123654" w:rsidRPr="00B82388">
        <w:rPr>
          <w:iCs/>
        </w:rPr>
        <w:t>Select</w:t>
      </w:r>
      <w:r w:rsidR="00123654">
        <w:rPr>
          <w:i/>
        </w:rPr>
        <w:t xml:space="preserve"> </w:t>
      </w:r>
      <w:r w:rsidR="00B82388" w:rsidRPr="00B82388">
        <w:rPr>
          <w:iCs/>
        </w:rPr>
        <w:t>S</w:t>
      </w:r>
      <w:r w:rsidR="00B82388">
        <w:rPr>
          <w:iCs/>
        </w:rPr>
        <w:t xml:space="preserve">taff </w:t>
      </w:r>
      <w:r w:rsidR="00B82388" w:rsidRPr="00B82388">
        <w:rPr>
          <w:iCs/>
        </w:rPr>
        <w:t xml:space="preserve">&gt; </w:t>
      </w:r>
      <w:r w:rsidR="00123654" w:rsidRPr="00B82388">
        <w:rPr>
          <w:iCs/>
        </w:rPr>
        <w:t>eServic</w:t>
      </w:r>
      <w:r w:rsidRPr="00B82388">
        <w:rPr>
          <w:iCs/>
        </w:rPr>
        <w:t xml:space="preserve">es.  </w:t>
      </w:r>
    </w:p>
    <w:p w14:paraId="578F8EDA" w14:textId="3E61EE5E" w:rsidR="008C7F83" w:rsidRPr="00B82388" w:rsidRDefault="008C7F83" w:rsidP="00B8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</w:rPr>
      </w:pPr>
      <w:r w:rsidRPr="00B82388">
        <w:rPr>
          <w:iCs/>
        </w:rPr>
        <w:t xml:space="preserve">If you do not know your password, please contact </w:t>
      </w:r>
      <w:r w:rsidR="00B82388">
        <w:rPr>
          <w:iCs/>
        </w:rPr>
        <w:t xml:space="preserve">the </w:t>
      </w:r>
      <w:r w:rsidRPr="00B82388">
        <w:rPr>
          <w:iCs/>
        </w:rPr>
        <w:t>H</w:t>
      </w:r>
      <w:r w:rsidR="00B82388">
        <w:rPr>
          <w:iCs/>
        </w:rPr>
        <w:t>elp Desk</w:t>
      </w:r>
      <w:r w:rsidR="00386487">
        <w:rPr>
          <w:iCs/>
        </w:rPr>
        <w:t xml:space="preserve"> (250) 475 – 4188.</w:t>
      </w:r>
    </w:p>
    <w:p w14:paraId="6C2A9F9E" w14:textId="77777777" w:rsidR="00B82388" w:rsidRPr="00B82388" w:rsidRDefault="00B82388">
      <w:pPr>
        <w:rPr>
          <w:b/>
          <w:sz w:val="16"/>
          <w:szCs w:val="16"/>
        </w:rPr>
      </w:pPr>
    </w:p>
    <w:p w14:paraId="39682560" w14:textId="47A34EB9" w:rsidR="00A758BC" w:rsidRDefault="00A758BC">
      <w:pPr>
        <w:rPr>
          <w:b/>
          <w:sz w:val="24"/>
          <w:szCs w:val="24"/>
        </w:rPr>
      </w:pPr>
      <w:r w:rsidRPr="0086301B">
        <w:rPr>
          <w:b/>
          <w:sz w:val="24"/>
          <w:szCs w:val="24"/>
        </w:rPr>
        <w:t xml:space="preserve">Timesheets for the week should be completed before </w:t>
      </w:r>
      <w:r w:rsidR="00123654">
        <w:rPr>
          <w:b/>
          <w:sz w:val="24"/>
          <w:szCs w:val="24"/>
        </w:rPr>
        <w:t xml:space="preserve">the </w:t>
      </w:r>
      <w:r w:rsidRPr="0086301B">
        <w:rPr>
          <w:b/>
          <w:sz w:val="24"/>
          <w:szCs w:val="24"/>
        </w:rPr>
        <w:t xml:space="preserve">end of the day on Fridays.  </w:t>
      </w:r>
      <w:r w:rsidR="00A06B94" w:rsidRPr="0086301B">
        <w:rPr>
          <w:b/>
          <w:sz w:val="24"/>
          <w:szCs w:val="24"/>
        </w:rPr>
        <w:t xml:space="preserve"> A separate timesheet must be completed for </w:t>
      </w:r>
      <w:r w:rsidR="00A06B94" w:rsidRPr="00136C45">
        <w:rPr>
          <w:b/>
          <w:sz w:val="24"/>
          <w:szCs w:val="24"/>
          <w:u w:val="single"/>
        </w:rPr>
        <w:t>each position and</w:t>
      </w:r>
      <w:r w:rsidR="00B82388">
        <w:rPr>
          <w:b/>
          <w:sz w:val="24"/>
          <w:szCs w:val="24"/>
          <w:u w:val="single"/>
        </w:rPr>
        <w:t xml:space="preserve"> for</w:t>
      </w:r>
      <w:r w:rsidR="00A06B94" w:rsidRPr="00136C45">
        <w:rPr>
          <w:b/>
          <w:sz w:val="24"/>
          <w:szCs w:val="24"/>
          <w:u w:val="single"/>
        </w:rPr>
        <w:t xml:space="preserve"> each location</w:t>
      </w:r>
      <w:r w:rsidR="00A06B94" w:rsidRPr="0086301B">
        <w:rPr>
          <w:b/>
          <w:sz w:val="24"/>
          <w:szCs w:val="24"/>
        </w:rPr>
        <w:t>.</w:t>
      </w:r>
    </w:p>
    <w:p w14:paraId="6B6EA818" w14:textId="52F0939F" w:rsidR="00A758BC" w:rsidRDefault="00A758BC">
      <w:r>
        <w:t xml:space="preserve">Please see diagram below </w:t>
      </w:r>
      <w:r w:rsidR="00B82388">
        <w:t xml:space="preserve">for instructions on </w:t>
      </w:r>
      <w:r>
        <w:t>complet</w:t>
      </w:r>
      <w:r w:rsidR="00B82388">
        <w:t>ing</w:t>
      </w:r>
      <w:r>
        <w:t xml:space="preserve"> your timesheet.  </w:t>
      </w:r>
    </w:p>
    <w:p w14:paraId="0F3380DB" w14:textId="223755B6" w:rsidR="00A758BC" w:rsidRDefault="00A758BC" w:rsidP="00A758BC">
      <w:pPr>
        <w:pStyle w:val="ListParagraph"/>
        <w:numPr>
          <w:ilvl w:val="0"/>
          <w:numId w:val="1"/>
        </w:numPr>
      </w:pPr>
      <w:r>
        <w:t>The date will default to</w:t>
      </w:r>
      <w:r w:rsidR="00B82388">
        <w:t xml:space="preserve"> the current day</w:t>
      </w:r>
      <w:r>
        <w:t>.  You may select any day in the week to see your timesheet</w:t>
      </w:r>
      <w:r w:rsidR="00B82388">
        <w:t>.</w:t>
      </w:r>
    </w:p>
    <w:p w14:paraId="45E306D5" w14:textId="3FDFE6CE" w:rsidR="00A758BC" w:rsidRPr="00B82388" w:rsidRDefault="008904D7" w:rsidP="00A758BC">
      <w:pPr>
        <w:pStyle w:val="ListParagraph"/>
        <w:numPr>
          <w:ilvl w:val="0"/>
          <w:numId w:val="1"/>
        </w:numPr>
        <w:rPr>
          <w:b/>
        </w:rPr>
      </w:pPr>
      <w:r w:rsidRPr="00123654">
        <w:rPr>
          <w:b/>
        </w:rPr>
        <w:t xml:space="preserve">Choose </w:t>
      </w:r>
      <w:r w:rsidR="00A758BC" w:rsidRPr="00123654">
        <w:rPr>
          <w:b/>
        </w:rPr>
        <w:t xml:space="preserve">Payroll </w:t>
      </w:r>
      <w:r w:rsidR="00A6672E" w:rsidRPr="00F03593">
        <w:rPr>
          <w:bCs/>
        </w:rPr>
        <w:t xml:space="preserve">by </w:t>
      </w:r>
      <w:r w:rsidR="0080410D" w:rsidRPr="00F03593">
        <w:rPr>
          <w:bCs/>
        </w:rPr>
        <w:t>select</w:t>
      </w:r>
      <w:r w:rsidR="00A6672E" w:rsidRPr="00F03593">
        <w:rPr>
          <w:bCs/>
        </w:rPr>
        <w:t>ing</w:t>
      </w:r>
      <w:r w:rsidR="0080410D" w:rsidRPr="00123654">
        <w:rPr>
          <w:b/>
        </w:rPr>
        <w:t xml:space="preserve"> </w:t>
      </w:r>
      <w:r w:rsidR="00A758BC" w:rsidRPr="00123654">
        <w:rPr>
          <w:b/>
        </w:rPr>
        <w:t>Casual 947 (C947</w:t>
      </w:r>
      <w:r w:rsidR="00A758BC" w:rsidRPr="00F03593">
        <w:rPr>
          <w:b/>
        </w:rPr>
        <w:t>)</w:t>
      </w:r>
      <w:r w:rsidRPr="00F03593">
        <w:rPr>
          <w:bCs/>
        </w:rPr>
        <w:t xml:space="preserve"> from the</w:t>
      </w:r>
      <w:r w:rsidRPr="008904D7">
        <w:t xml:space="preserve"> drop</w:t>
      </w:r>
      <w:r w:rsidR="00B82388">
        <w:t>-</w:t>
      </w:r>
      <w:r w:rsidRPr="008904D7">
        <w:t>down menu</w:t>
      </w:r>
      <w:r w:rsidR="00B82388">
        <w:t>.</w:t>
      </w:r>
    </w:p>
    <w:p w14:paraId="0BA655D0" w14:textId="6930FCE1" w:rsidR="00B82388" w:rsidRPr="00F03593" w:rsidRDefault="00B82388" w:rsidP="00B82388">
      <w:pPr>
        <w:pStyle w:val="ListParagraph"/>
        <w:numPr>
          <w:ilvl w:val="1"/>
          <w:numId w:val="4"/>
        </w:numPr>
        <w:rPr>
          <w:bCs/>
        </w:rPr>
      </w:pPr>
      <w:r w:rsidRPr="00F03593">
        <w:rPr>
          <w:bCs/>
        </w:rPr>
        <w:t>Click through the messages: No assignments were found – loading all locations</w:t>
      </w:r>
    </w:p>
    <w:p w14:paraId="17623BC7" w14:textId="718FB98D" w:rsidR="00B82388" w:rsidRPr="00F03593" w:rsidRDefault="00B82388" w:rsidP="00B82388">
      <w:pPr>
        <w:pStyle w:val="ListParagraph"/>
        <w:numPr>
          <w:ilvl w:val="1"/>
          <w:numId w:val="4"/>
        </w:numPr>
        <w:rPr>
          <w:bCs/>
        </w:rPr>
      </w:pPr>
      <w:r w:rsidRPr="00F03593">
        <w:rPr>
          <w:bCs/>
        </w:rPr>
        <w:t>Click through the message: No assignments were found – loading default positions for payroll.</w:t>
      </w:r>
    </w:p>
    <w:p w14:paraId="3189F8D7" w14:textId="4B0E3906" w:rsidR="00A758BC" w:rsidRDefault="00A758BC" w:rsidP="00A758BC">
      <w:pPr>
        <w:pStyle w:val="ListParagraph"/>
        <w:numPr>
          <w:ilvl w:val="0"/>
          <w:numId w:val="1"/>
        </w:numPr>
      </w:pPr>
      <w:r>
        <w:t xml:space="preserve">Choose </w:t>
      </w:r>
      <w:r w:rsidR="00F03593">
        <w:t xml:space="preserve">the </w:t>
      </w:r>
      <w:r w:rsidRPr="00735406">
        <w:rPr>
          <w:b/>
        </w:rPr>
        <w:t>Location</w:t>
      </w:r>
      <w:r>
        <w:t xml:space="preserve"> from the </w:t>
      </w:r>
      <w:r w:rsidR="00F03593">
        <w:t>drop-down</w:t>
      </w:r>
      <w:r>
        <w:t xml:space="preserve"> menu</w:t>
      </w:r>
      <w:r w:rsidR="00F03593">
        <w:t xml:space="preserve"> that you worked at for that day</w:t>
      </w:r>
      <w:r>
        <w:t xml:space="preserve"> (Note: your timesheet can only be seen, and authorized, by the location you choose)</w:t>
      </w:r>
    </w:p>
    <w:p w14:paraId="151C1352" w14:textId="27A9F245" w:rsidR="00A758BC" w:rsidRDefault="00A758BC" w:rsidP="00A758BC">
      <w:pPr>
        <w:pStyle w:val="ListParagraph"/>
        <w:numPr>
          <w:ilvl w:val="0"/>
          <w:numId w:val="1"/>
        </w:numPr>
      </w:pPr>
      <w:r>
        <w:t>Auth Location</w:t>
      </w:r>
      <w:r w:rsidR="00F03593">
        <w:t xml:space="preserve"> (optional) </w:t>
      </w:r>
      <w:r>
        <w:t xml:space="preserve"> </w:t>
      </w:r>
      <w:r w:rsidRPr="00F03593">
        <w:rPr>
          <w:b/>
          <w:bCs/>
        </w:rPr>
        <w:t xml:space="preserve">– </w:t>
      </w:r>
      <w:r w:rsidRPr="00F03593">
        <w:rPr>
          <w:b/>
          <w:bCs/>
          <w:u w:val="single"/>
        </w:rPr>
        <w:t>DO NOT</w:t>
      </w:r>
      <w:r>
        <w:t xml:space="preserve"> </w:t>
      </w:r>
      <w:r w:rsidR="00F03593">
        <w:t>select anything for thi</w:t>
      </w:r>
      <w:r>
        <w:t>s field</w:t>
      </w:r>
      <w:r w:rsidR="00F03593">
        <w:t>, leave BLANK</w:t>
      </w:r>
    </w:p>
    <w:p w14:paraId="711DE1A4" w14:textId="4F1CCD65" w:rsidR="00A758BC" w:rsidRDefault="00A758BC" w:rsidP="00A758BC">
      <w:pPr>
        <w:pStyle w:val="ListParagraph"/>
        <w:numPr>
          <w:ilvl w:val="0"/>
          <w:numId w:val="1"/>
        </w:numPr>
      </w:pPr>
      <w:r>
        <w:t>Cho</w:t>
      </w:r>
      <w:r w:rsidR="00A06B94">
        <w:t>o</w:t>
      </w:r>
      <w:r>
        <w:t xml:space="preserve">se </w:t>
      </w:r>
      <w:r w:rsidRPr="00735406">
        <w:rPr>
          <w:b/>
        </w:rPr>
        <w:t>Position</w:t>
      </w:r>
      <w:r>
        <w:t xml:space="preserve"> from the </w:t>
      </w:r>
      <w:r w:rsidR="00F03593">
        <w:t>drop-down</w:t>
      </w:r>
      <w:r w:rsidR="00ED6309">
        <w:t xml:space="preserve"> menu (Note: Your rate of</w:t>
      </w:r>
      <w:r>
        <w:t xml:space="preserve"> pay is driven by the position you choose)</w:t>
      </w:r>
    </w:p>
    <w:p w14:paraId="22663AE7" w14:textId="79524F50" w:rsidR="00B85029" w:rsidRDefault="00B85029" w:rsidP="00A758BC">
      <w:pPr>
        <w:pStyle w:val="ListParagraph"/>
        <w:numPr>
          <w:ilvl w:val="0"/>
          <w:numId w:val="1"/>
        </w:numPr>
      </w:pPr>
      <w:r>
        <w:t>Select “</w:t>
      </w:r>
      <w:r w:rsidR="00F03593">
        <w:t>SUBMIT</w:t>
      </w:r>
      <w:r>
        <w:t>”</w:t>
      </w:r>
    </w:p>
    <w:p w14:paraId="46EE802B" w14:textId="23352B21" w:rsidR="00735406" w:rsidRDefault="0086301B" w:rsidP="00B17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6301B">
        <w:rPr>
          <w:i/>
        </w:rPr>
        <w:t xml:space="preserve">NOTE: </w:t>
      </w:r>
      <w:r w:rsidR="00735406" w:rsidRPr="0086301B">
        <w:rPr>
          <w:i/>
        </w:rPr>
        <w:t xml:space="preserve">From the </w:t>
      </w:r>
      <w:r w:rsidR="003411B4">
        <w:rPr>
          <w:i/>
        </w:rPr>
        <w:t xml:space="preserve">View Entries for the week of: </w:t>
      </w:r>
      <w:r w:rsidR="00735406" w:rsidRPr="0086301B">
        <w:rPr>
          <w:i/>
        </w:rPr>
        <w:t xml:space="preserve">box, you may </w:t>
      </w:r>
      <w:r w:rsidR="00735406" w:rsidRPr="001649D1">
        <w:rPr>
          <w:b/>
          <w:i/>
          <w:u w:val="single"/>
        </w:rPr>
        <w:t>view</w:t>
      </w:r>
      <w:r w:rsidR="00735406" w:rsidRPr="0086301B">
        <w:rPr>
          <w:i/>
        </w:rPr>
        <w:t xml:space="preserve"> current and prior week’s timesheets</w:t>
      </w:r>
    </w:p>
    <w:p w14:paraId="46B7B9B4" w14:textId="5CBAED09" w:rsidR="00136C45" w:rsidRPr="00136C45" w:rsidRDefault="00F03593" w:rsidP="00F03593">
      <w:pPr>
        <w:jc w:val="center"/>
      </w:pPr>
      <w:r w:rsidRPr="00F03593">
        <w:rPr>
          <w:noProof/>
        </w:rPr>
        <w:drawing>
          <wp:inline distT="0" distB="0" distL="0" distR="0" wp14:anchorId="0A245601" wp14:editId="03A87B8D">
            <wp:extent cx="5219700" cy="3029929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774" cy="30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83570" w14:textId="77777777" w:rsidR="00347EA4" w:rsidRPr="00347EA4" w:rsidRDefault="00347EA4" w:rsidP="00347EA4">
      <w:pPr>
        <w:pStyle w:val="ListParagraph"/>
        <w:rPr>
          <w:b/>
        </w:rPr>
      </w:pPr>
    </w:p>
    <w:p w14:paraId="3A2A9963" w14:textId="77777777" w:rsidR="00347EA4" w:rsidRPr="00347EA4" w:rsidRDefault="00347EA4" w:rsidP="00347EA4">
      <w:pPr>
        <w:pStyle w:val="ListParagraph"/>
        <w:rPr>
          <w:b/>
        </w:rPr>
      </w:pPr>
    </w:p>
    <w:p w14:paraId="53202117" w14:textId="77777777" w:rsidR="00347EA4" w:rsidRPr="00347EA4" w:rsidRDefault="00347EA4" w:rsidP="00347EA4">
      <w:pPr>
        <w:pStyle w:val="ListParagraph"/>
        <w:rPr>
          <w:b/>
        </w:rPr>
      </w:pPr>
    </w:p>
    <w:p w14:paraId="754F46CF" w14:textId="77777777" w:rsidR="00347EA4" w:rsidRPr="00347EA4" w:rsidRDefault="00347EA4" w:rsidP="00347EA4">
      <w:pPr>
        <w:pStyle w:val="ListParagraph"/>
        <w:rPr>
          <w:b/>
        </w:rPr>
      </w:pPr>
    </w:p>
    <w:p w14:paraId="66168194" w14:textId="12A23EC8" w:rsidR="00735406" w:rsidRPr="001A3F15" w:rsidRDefault="00735406" w:rsidP="001A3F15">
      <w:pPr>
        <w:pStyle w:val="ListParagraph"/>
        <w:numPr>
          <w:ilvl w:val="0"/>
          <w:numId w:val="1"/>
        </w:numPr>
        <w:rPr>
          <w:b/>
        </w:rPr>
      </w:pPr>
      <w:r w:rsidRPr="001A3F15">
        <w:rPr>
          <w:sz w:val="24"/>
          <w:szCs w:val="24"/>
        </w:rPr>
        <w:t xml:space="preserve">Enter the </w:t>
      </w:r>
      <w:r w:rsidRPr="001A3F15">
        <w:rPr>
          <w:b/>
          <w:sz w:val="24"/>
          <w:szCs w:val="24"/>
        </w:rPr>
        <w:t>number of hours</w:t>
      </w:r>
      <w:r w:rsidRPr="001A3F15">
        <w:rPr>
          <w:sz w:val="24"/>
          <w:szCs w:val="24"/>
        </w:rPr>
        <w:t xml:space="preserve"> you worked each da</w:t>
      </w:r>
      <w:r w:rsidR="005C176F">
        <w:rPr>
          <w:sz w:val="24"/>
          <w:szCs w:val="24"/>
        </w:rPr>
        <w:t>y, for th</w:t>
      </w:r>
      <w:r w:rsidR="0053678A">
        <w:rPr>
          <w:sz w:val="24"/>
          <w:szCs w:val="24"/>
        </w:rPr>
        <w:t>e</w:t>
      </w:r>
      <w:r w:rsidR="005C176F">
        <w:rPr>
          <w:sz w:val="24"/>
          <w:szCs w:val="24"/>
        </w:rPr>
        <w:t xml:space="preserve"> position</w:t>
      </w:r>
      <w:r w:rsidR="00347EA4">
        <w:rPr>
          <w:sz w:val="24"/>
          <w:szCs w:val="24"/>
        </w:rPr>
        <w:t xml:space="preserve"> you selected for this timesheet</w:t>
      </w:r>
      <w:r w:rsidRPr="001A3F15">
        <w:rPr>
          <w:b/>
        </w:rPr>
        <w:t>.</w:t>
      </w:r>
    </w:p>
    <w:p w14:paraId="08760893" w14:textId="19ACE7E8" w:rsidR="0086301B" w:rsidRDefault="0086301B" w:rsidP="0086301B">
      <w:pPr>
        <w:pStyle w:val="ListParagraph"/>
        <w:numPr>
          <w:ilvl w:val="0"/>
          <w:numId w:val="2"/>
        </w:numPr>
      </w:pPr>
      <w:r>
        <w:t xml:space="preserve">Enter hours in </w:t>
      </w:r>
      <w:r w:rsidR="009D5F04">
        <w:t>the “Replacement hours” row when</w:t>
      </w:r>
      <w:r>
        <w:t xml:space="preserve"> you are replacing an absent </w:t>
      </w:r>
      <w:r w:rsidR="00347EA4">
        <w:t>R</w:t>
      </w:r>
      <w:r>
        <w:t xml:space="preserve">egular CUPE 947 employee.  </w:t>
      </w:r>
    </w:p>
    <w:p w14:paraId="3333A1E8" w14:textId="3C42664E" w:rsidR="0086301B" w:rsidRDefault="0086301B" w:rsidP="0086301B">
      <w:pPr>
        <w:pStyle w:val="ListParagraph"/>
        <w:numPr>
          <w:ilvl w:val="0"/>
          <w:numId w:val="2"/>
        </w:numPr>
      </w:pPr>
      <w:r>
        <w:t>Enter ho</w:t>
      </w:r>
      <w:r w:rsidR="009D5F04">
        <w:t xml:space="preserve">urs in the “Extra hours” row when </w:t>
      </w:r>
      <w:r>
        <w:t>you are NOT replacing an employee</w:t>
      </w:r>
      <w:r w:rsidR="00824A2B">
        <w:t xml:space="preserve">.  Your </w:t>
      </w:r>
      <w:r w:rsidR="009D5F04">
        <w:t>earnings for “Extra hours”</w:t>
      </w:r>
      <w:r w:rsidR="00824A2B">
        <w:t xml:space="preserve"> are automatically charged to your school.  Your Principal or SAA may advise you</w:t>
      </w:r>
      <w:r w:rsidR="0053678A">
        <w:t xml:space="preserve"> to enter a GL account number </w:t>
      </w:r>
      <w:r w:rsidR="00824A2B">
        <w:t>in the memo box next to your hours</w:t>
      </w:r>
      <w:r w:rsidR="0053678A">
        <w:t>, or you would leave the Memo Box blank</w:t>
      </w:r>
      <w:r w:rsidR="00824A2B">
        <w:t>.</w:t>
      </w:r>
    </w:p>
    <w:p w14:paraId="5ED70517" w14:textId="77777777" w:rsidR="009D5F04" w:rsidRPr="009D5F04" w:rsidRDefault="009D5F04" w:rsidP="009D5F04">
      <w:pPr>
        <w:ind w:left="2160" w:firstLine="720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41A1" wp14:editId="79589CA5">
                <wp:simplePos x="0" y="0"/>
                <wp:positionH relativeFrom="column">
                  <wp:posOffset>2366010</wp:posOffset>
                </wp:positionH>
                <wp:positionV relativeFrom="paragraph">
                  <wp:posOffset>203199</wp:posOffset>
                </wp:positionV>
                <wp:extent cx="95250" cy="1209675"/>
                <wp:effectExtent l="76200" t="0" r="190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B2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6.3pt;margin-top:16pt;width:7.5pt;height:9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9D5F04">
        <w:rPr>
          <w:i/>
        </w:rPr>
        <w:t>Memo box</w:t>
      </w:r>
    </w:p>
    <w:p w14:paraId="79EB2BF4" w14:textId="54452F4E" w:rsidR="00D06206" w:rsidRDefault="0053678A" w:rsidP="00091DE6">
      <w:pPr>
        <w:jc w:val="center"/>
      </w:pPr>
      <w:r w:rsidRPr="0053678A">
        <w:rPr>
          <w:noProof/>
        </w:rPr>
        <w:drawing>
          <wp:inline distT="0" distB="0" distL="0" distR="0" wp14:anchorId="7D34ADE1" wp14:editId="4CCAAEDA">
            <wp:extent cx="5762625" cy="2938325"/>
            <wp:effectExtent l="0" t="0" r="0" b="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784" cy="295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1F5C" w14:textId="77777777" w:rsidR="004B175B" w:rsidRDefault="004B175B" w:rsidP="008904D7">
      <w:pPr>
        <w:pStyle w:val="ListParagraph"/>
        <w:numPr>
          <w:ilvl w:val="0"/>
          <w:numId w:val="1"/>
        </w:numPr>
      </w:pPr>
      <w:r>
        <w:t xml:space="preserve">Select </w:t>
      </w:r>
      <w:r w:rsidRPr="005C176F">
        <w:rPr>
          <w:b/>
        </w:rPr>
        <w:t>“Submit”.</w:t>
      </w:r>
      <w:r>
        <w:t xml:space="preserve">  </w:t>
      </w:r>
    </w:p>
    <w:p w14:paraId="0DA3BFFB" w14:textId="77777777" w:rsidR="00347EA4" w:rsidRDefault="00347EA4">
      <w:pPr>
        <w:rPr>
          <w:u w:val="single"/>
        </w:rPr>
      </w:pPr>
    </w:p>
    <w:p w14:paraId="58867564" w14:textId="0F60BF9E" w:rsidR="004B175B" w:rsidRPr="00347EA4" w:rsidRDefault="004B175B">
      <w:pPr>
        <w:rPr>
          <w:u w:val="single"/>
        </w:rPr>
      </w:pPr>
      <w:r w:rsidRPr="00347EA4">
        <w:rPr>
          <w:u w:val="single"/>
        </w:rPr>
        <w:t>Reminders:</w:t>
      </w:r>
    </w:p>
    <w:p w14:paraId="2A21062A" w14:textId="77777777" w:rsidR="00347EA4" w:rsidRDefault="004B175B" w:rsidP="004B175B">
      <w:pPr>
        <w:pStyle w:val="ListParagraph"/>
        <w:numPr>
          <w:ilvl w:val="0"/>
          <w:numId w:val="3"/>
        </w:numPr>
      </w:pPr>
      <w:r>
        <w:t>A timesheet must be completed for each position</w:t>
      </w:r>
      <w:r w:rsidR="00347EA4">
        <w:t xml:space="preserve"> and location:</w:t>
      </w:r>
      <w:r>
        <w:t xml:space="preserve"> </w:t>
      </w:r>
    </w:p>
    <w:p w14:paraId="3952681A" w14:textId="6E5B23EA" w:rsidR="004B175B" w:rsidRDefault="00347EA4" w:rsidP="00347EA4">
      <w:pPr>
        <w:pStyle w:val="ListParagraph"/>
        <w:numPr>
          <w:ilvl w:val="1"/>
          <w:numId w:val="3"/>
        </w:numPr>
      </w:pPr>
      <w:r>
        <w:t>If you work as an EAG at Colquitz on Monday – separate TEW timesheet</w:t>
      </w:r>
    </w:p>
    <w:p w14:paraId="397DBC13" w14:textId="3B0379B4" w:rsidR="00347EA4" w:rsidRDefault="00347EA4" w:rsidP="00347EA4">
      <w:pPr>
        <w:pStyle w:val="ListParagraph"/>
        <w:numPr>
          <w:ilvl w:val="1"/>
          <w:numId w:val="3"/>
        </w:numPr>
      </w:pPr>
      <w:r>
        <w:t>If you work as a DEA at Colquitz on Friday – separate TEW timesheet</w:t>
      </w:r>
    </w:p>
    <w:p w14:paraId="3E6990B1" w14:textId="13CDD341" w:rsidR="00347EA4" w:rsidRDefault="00347EA4" w:rsidP="00347EA4">
      <w:pPr>
        <w:pStyle w:val="ListParagraph"/>
        <w:numPr>
          <w:ilvl w:val="1"/>
          <w:numId w:val="3"/>
        </w:numPr>
      </w:pPr>
      <w:r>
        <w:t>If you work as a SPVN at Glanford Tuesday to Thursday – all on the same TEW timesheet</w:t>
      </w:r>
    </w:p>
    <w:p w14:paraId="29708111" w14:textId="4E02726D" w:rsidR="004B175B" w:rsidRDefault="004B175B" w:rsidP="004B175B">
      <w:pPr>
        <w:pStyle w:val="ListParagraph"/>
        <w:numPr>
          <w:ilvl w:val="0"/>
          <w:numId w:val="3"/>
        </w:numPr>
      </w:pPr>
      <w:r>
        <w:t>You may look at your current week’s timesheet(s) or prior weeks timesheets from the “</w:t>
      </w:r>
      <w:r w:rsidR="00347EA4">
        <w:t>View Entries for the week of</w:t>
      </w:r>
      <w:r>
        <w:t>” box when you first enter TEW.</w:t>
      </w:r>
    </w:p>
    <w:p w14:paraId="4EEC971D" w14:textId="566010A0" w:rsidR="00386487" w:rsidRPr="00386487" w:rsidRDefault="00386487" w:rsidP="004B175B">
      <w:pPr>
        <w:pStyle w:val="ListParagraph"/>
        <w:numPr>
          <w:ilvl w:val="0"/>
          <w:numId w:val="3"/>
        </w:numPr>
        <w:rPr>
          <w:i/>
          <w:iCs/>
          <w:highlight w:val="yellow"/>
        </w:rPr>
      </w:pPr>
      <w:r w:rsidRPr="00386487">
        <w:rPr>
          <w:i/>
          <w:iCs/>
          <w:highlight w:val="yellow"/>
        </w:rPr>
        <w:t>No paper timesheets will be accepted unless there are exceptional circumstances.</w:t>
      </w:r>
    </w:p>
    <w:p w14:paraId="5C1437ED" w14:textId="77777777" w:rsidR="00504EC1" w:rsidRDefault="00504EC1" w:rsidP="00504EC1">
      <w:pPr>
        <w:pStyle w:val="ListParagraph"/>
      </w:pPr>
    </w:p>
    <w:sectPr w:rsidR="00504EC1" w:rsidSect="00B85029">
      <w:pgSz w:w="12240" w:h="15840"/>
      <w:pgMar w:top="1152" w:right="864" w:bottom="100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VSD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7846"/>
    <w:multiLevelType w:val="hybridMultilevel"/>
    <w:tmpl w:val="E94E017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F2B"/>
    <w:multiLevelType w:val="hybridMultilevel"/>
    <w:tmpl w:val="2E4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5F9F"/>
    <w:multiLevelType w:val="hybridMultilevel"/>
    <w:tmpl w:val="43BA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933EE3"/>
    <w:multiLevelType w:val="hybridMultilevel"/>
    <w:tmpl w:val="4D26FFB0"/>
    <w:lvl w:ilvl="0" w:tplc="97A066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903">
    <w:abstractNumId w:val="3"/>
  </w:num>
  <w:num w:numId="2" w16cid:durableId="1218936177">
    <w:abstractNumId w:val="2"/>
  </w:num>
  <w:num w:numId="3" w16cid:durableId="454451560">
    <w:abstractNumId w:val="1"/>
  </w:num>
  <w:num w:numId="4" w16cid:durableId="18154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06"/>
    <w:rsid w:val="00091DE6"/>
    <w:rsid w:val="00123654"/>
    <w:rsid w:val="00136C45"/>
    <w:rsid w:val="001649D1"/>
    <w:rsid w:val="001A3F15"/>
    <w:rsid w:val="003411B4"/>
    <w:rsid w:val="00347EA4"/>
    <w:rsid w:val="00386487"/>
    <w:rsid w:val="0047531A"/>
    <w:rsid w:val="004B175B"/>
    <w:rsid w:val="00504EC1"/>
    <w:rsid w:val="0053678A"/>
    <w:rsid w:val="005C176F"/>
    <w:rsid w:val="00617BEC"/>
    <w:rsid w:val="006C30A5"/>
    <w:rsid w:val="006E5A65"/>
    <w:rsid w:val="00735406"/>
    <w:rsid w:val="0080410D"/>
    <w:rsid w:val="00824A2B"/>
    <w:rsid w:val="00830C86"/>
    <w:rsid w:val="0086301B"/>
    <w:rsid w:val="008904D7"/>
    <w:rsid w:val="008B2DE8"/>
    <w:rsid w:val="008C7F83"/>
    <w:rsid w:val="008F231B"/>
    <w:rsid w:val="009D5F04"/>
    <w:rsid w:val="00A06B94"/>
    <w:rsid w:val="00A6672E"/>
    <w:rsid w:val="00A758BC"/>
    <w:rsid w:val="00A87EBC"/>
    <w:rsid w:val="00B17166"/>
    <w:rsid w:val="00B82388"/>
    <w:rsid w:val="00B85029"/>
    <w:rsid w:val="00D06206"/>
    <w:rsid w:val="00ED6309"/>
    <w:rsid w:val="00F03593"/>
    <w:rsid w:val="00F0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CB5E"/>
  <w15:docId w15:val="{31FA3BAA-11A6-4A23-A423-6493CF70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d61.bc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 61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Debbie</dc:creator>
  <cp:lastModifiedBy>Chris Hardie</cp:lastModifiedBy>
  <cp:revision>5</cp:revision>
  <cp:lastPrinted>2023-03-02T16:21:00Z</cp:lastPrinted>
  <dcterms:created xsi:type="dcterms:W3CDTF">2023-03-02T15:57:00Z</dcterms:created>
  <dcterms:modified xsi:type="dcterms:W3CDTF">2023-08-30T17:45:00Z</dcterms:modified>
</cp:coreProperties>
</file>